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XXXII/205/21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lutego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przekazania petycji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15 oraz art. 18b ustawy z dnia 8 marca 1990 r. o samorządzie gminnym (t. j. Dz. U. z 2020 r. poz. 713 z późn. zm.) w związku z art. 6 ustawy z 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 lipca 2014 r. o petycjach (t. j. Dz. U. z 2018 r. poz. 870 z. późn. zm.)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 zapoznaniu się z petycją-listem otwartym „Alarm! STOP zabójczemu GMO-STOP niebezpiecznej SZCZEPIONCE” Stowarzyszenia Polska Wolna od GMO postanawia się ją przekazać do Kancelarii Prezesa Rady Ministrów, jako organu właściwego do jej rozpatrzenia.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Uzasadnienie sposobu załatwienia petycji zawarto w załączniku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Upoważnia się Przewodniczącego Rady Gminy do przekazania petycji oraz poinformowania wnoszącego petycję o sposobie jej rozpatrzenia.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48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XXXII/205/21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Gorzyce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lutego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W dniu 18 stycznia 2021 r. na stanowisko ds. obsługi organów kolegialnych wpłynęła petycja, wraz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 uzupełnieniem, zatytułowana 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Alarm! STOP zabójczemu GMO - STOP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niebezpiecznej SZCZEPIONCE!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single" w:color="000000"/>
          <w:vertAlign w:val="baseline"/>
        </w:rPr>
        <w:t xml:space="preserve">List otwarty do Prezydenta RP, Członków Rządu RP, Posłów, Senatorów, Wójtów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singl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single" w:color="000000"/>
          <w:vertAlign w:val="baseline"/>
        </w:rPr>
        <w:t xml:space="preserve">i Radnych Gmin w Polsce.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 wnoszący petycję-Stowarzyszenie Polska Wolna od GMO, reprezentowany przez p. Annę Szmelcer, domaga się: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zaprzestania szczepień przeciw Covid-19,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dopuszczenia do mediów publicznych polskich i zagranicznych lekarzy i naukowców, którzy alarmują i wskazują na możliwe powikłania poszczepienne,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 wszystkich ograniczeń i wolności, w tym gospodarczych,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przyjęcia deklaracji osobistego poniesienia wszystkich konsekwencji prawnych i finansowych wobec osób, które są lub staną się ofiar szczepień oraz polityki w związku z pandemią a także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podjęcia działań edukacyjnych, których celem będzie zwrócenie uwagi na obywateli na alternatywne metody obrony przed zachorowaniem, podniesienia ich odporności i leczenia ogólnodostępnymi środkami.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Niniejszą petycją zajęli się członkowie Komisji Skarg, wniosków i Petycji, jako właściwej do jej rozpatrzenia.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toku przeprowadzonej analizy stwierdzono, że Rada Gminy Gorzyce nie jest właściwa do jej rozpatrzenia.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szczepień ochronnych przeciw Covid-19, jako metoda mająca na celu zapobieżenie tej chorobie, zostało wprowadzone Rozporządzeniem Ministra Zdrowia z dnia 31 grudnia 2020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metody zapobiegania Covid-19 (Dz. U. z 2021 r., poz. 10). Nadmienić należy, że dystrybucją szczepionki przeciw Covid-19 zajmuje się Zespół, będący organem pomocniczym Ministra do spraw zdrowia, powołany Zarządzeniem Ministra Zdrowia z dnia 19 listopada 2020 r. (Dz. Urz. MZ z 2020 r. poz. 99).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 w grudniu 2020 r., przez Rząd RP, Narodowy Program Szczepień przeciw Covid-19 ma zagwarantować przeprowadzenie bezpiecznych i skutecznych szczepień wśród obywateli Polski. Program obejmuje nie tylko zakup odpowiedniej liczby szczepionek, ich dystrybucję, ale także monitoring przebiegu i efektywności szczepienia oraz bezpieczeństwo Polaków. W ramach Programu ma powstać fundusz kompensacyjny dla osób, u których wystąpią niepożądane odczyny poszczepienne.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Podmiotem w głównej mierze zaangażowanym w Program jest Kancelaria Prezesa Rady Ministrów-ja podmiot powołany do ogólnej oceny szczepień.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Ponadto nadzór nad skutecznością i bezpieczeństwem szczepionek (w przypadku powszechnego stosowania) został powierzony: Głównemu Inspektoratowi Farmaceutycznemu, Państwowej Inspekcji Sanitarnej, Narodowemu Instytutowi Zdrowia Publicznego, Urzędowi Rejestracji Produktów Leczniczych, wyrobów Medycznych i Produktów Biobójczych.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podkreślić, że Rada Gminy nie posiada uprawnień, które pozwalałyby wcześniejsze zniesienie obostrzeń-obowiązujące ograniczenia i zakazy zostały wprowadzone przepisami Rozporządzenia Rady Ministrów z dnia 21 grudnia 2020 r. w sprawie ustanowienia określonych ograniczeń, nakazów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zakazów, w związku z wystąpieniem stanu epidemii (Dz. U. z 2020 r., poz. 2316 z późn. zm.). Podstawę stanowi tutaj art. 46a i art. 46b pkt 1-6 oraz 8-13 ustawy z dnia 5 grudnia 2008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zapobieganiu oraz zwalczaniu zakażeń i chorób zakaźnych u ludzi (t. j. Dz. U. z 2020 r., poz. 1845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późn. zm.)-określono tutaj czas obowiązywania oraz skutki nieprzestrzegania ograniczeń.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Mając na uwadze powyższe zgodnie z art. 6 ustawy z dnia 11 lipca 2014 r. o petycjach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(t. j. Dz. U. z 2018 r. poz. 870 z. późn. zm.) jeżeli adresat petycji nie jest właściwy do jej rozpatrzenia, przesyła ją według właściwości rzeczowej do podmiotu właściwego do jej rozpatrzenia.</w:t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86E6CAB2-9303-4F8A-BCF5-90F8030FC468.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86E6CAB2-9303-4F8A-BCF5-90F8030FC468.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XXXII/205/21 z dnia 26 lutego 2021 r.</dc:title>
  <dc:subject>w sprawie przekazania petycji</dc:subject>
  <dc:creator>DULE</dc:creator>
  <cp:lastModifiedBy>DULE</cp:lastModifiedBy>
  <cp:revision>1</cp:revision>
  <dcterms:created xsi:type="dcterms:W3CDTF">2021-03-04T15:11:19Z</dcterms:created>
  <dcterms:modified xsi:type="dcterms:W3CDTF">2021-03-04T15:11:19Z</dcterms:modified>
  <cp:category>Akt prawny</cp:category>
</cp:coreProperties>
</file>